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07" w:rsidRDefault="00ED7907" w:rsidP="00ED7907">
      <w:pPr>
        <w:widowControl/>
        <w:spacing w:line="420" w:lineRule="atLeast"/>
        <w:jc w:val="center"/>
        <w:rPr>
          <w:rFonts w:ascii="仿宋" w:eastAsia="仿宋" w:hAnsi="仿宋" w:cs="仿宋"/>
          <w:b/>
          <w:kern w:val="0"/>
          <w:sz w:val="48"/>
          <w:szCs w:val="32"/>
        </w:rPr>
      </w:pPr>
      <w:bookmarkStart w:id="0" w:name="_GoBack"/>
      <w:r>
        <w:rPr>
          <w:rFonts w:ascii="仿宋" w:eastAsia="仿宋" w:hAnsi="仿宋" w:cs="仿宋" w:hint="eastAsia"/>
          <w:b/>
          <w:kern w:val="0"/>
          <w:sz w:val="48"/>
          <w:szCs w:val="32"/>
        </w:rPr>
        <w:t>危化品存储单位</w:t>
      </w:r>
      <w:r w:rsidRPr="00F90C40">
        <w:rPr>
          <w:rFonts w:ascii="仿宋" w:eastAsia="仿宋" w:hAnsi="仿宋" w:cs="仿宋" w:hint="eastAsia"/>
          <w:b/>
          <w:kern w:val="0"/>
          <w:sz w:val="48"/>
          <w:szCs w:val="32"/>
        </w:rPr>
        <w:t>重大事故隐患排查表</w:t>
      </w:r>
    </w:p>
    <w:bookmarkEnd w:id="0"/>
    <w:p w:rsidR="00ED7907" w:rsidRDefault="00ED7907" w:rsidP="00ED7907">
      <w:pPr>
        <w:widowControl/>
        <w:spacing w:line="420" w:lineRule="atLeast"/>
        <w:jc w:val="center"/>
        <w:rPr>
          <w:rFonts w:ascii="仿宋" w:eastAsia="仿宋" w:hAnsi="仿宋" w:cs="仿宋"/>
          <w:b/>
          <w:kern w:val="0"/>
          <w:sz w:val="48"/>
          <w:szCs w:val="32"/>
        </w:rPr>
      </w:pPr>
    </w:p>
    <w:p w:rsidR="00ED7907" w:rsidRDefault="00ED7907" w:rsidP="00ED7907">
      <w:pPr>
        <w:widowControl/>
        <w:spacing w:line="420" w:lineRule="atLeast"/>
        <w:ind w:firstLineChars="100" w:firstLine="320"/>
        <w:jc w:val="left"/>
        <w:rPr>
          <w:rFonts w:ascii="仿宋" w:eastAsia="仿宋" w:hAnsi="仿宋" w:cs="仿宋"/>
          <w:kern w:val="0"/>
          <w:sz w:val="32"/>
          <w:szCs w:val="32"/>
        </w:rPr>
      </w:pPr>
      <w:r>
        <w:rPr>
          <w:rFonts w:ascii="仿宋" w:eastAsia="仿宋" w:hAnsi="仿宋" w:cs="仿宋" w:hint="eastAsia"/>
          <w:kern w:val="0"/>
          <w:sz w:val="32"/>
          <w:szCs w:val="32"/>
        </w:rPr>
        <w:t xml:space="preserve">部门： </w:t>
      </w:r>
      <w:r>
        <w:rPr>
          <w:rFonts w:ascii="仿宋" w:eastAsia="仿宋" w:hAnsi="仿宋" w:cs="仿宋"/>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 xml:space="preserve">主要责任人： </w:t>
      </w:r>
      <w:r>
        <w:rPr>
          <w:rFonts w:ascii="仿宋" w:eastAsia="仿宋" w:hAnsi="仿宋" w:cs="仿宋"/>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负责人：</w:t>
      </w:r>
    </w:p>
    <w:tbl>
      <w:tblPr>
        <w:tblStyle w:val="TableGrid"/>
        <w:tblW w:w="139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90" w:type="dxa"/>
          <w:right w:w="9" w:type="dxa"/>
        </w:tblCellMar>
        <w:tblLook w:val="04A0" w:firstRow="1" w:lastRow="0" w:firstColumn="1" w:lastColumn="0" w:noHBand="0" w:noVBand="1"/>
      </w:tblPr>
      <w:tblGrid>
        <w:gridCol w:w="372"/>
        <w:gridCol w:w="1184"/>
        <w:gridCol w:w="4252"/>
        <w:gridCol w:w="3260"/>
        <w:gridCol w:w="1985"/>
        <w:gridCol w:w="2896"/>
      </w:tblGrid>
      <w:tr w:rsidR="00ED7907" w:rsidRPr="000D076C" w:rsidTr="000B2AB4">
        <w:trPr>
          <w:trHeight w:val="642"/>
        </w:trPr>
        <w:tc>
          <w:tcPr>
            <w:tcW w:w="372" w:type="dxa"/>
          </w:tcPr>
          <w:p w:rsidR="00ED7907" w:rsidRPr="000D076C" w:rsidRDefault="00ED7907" w:rsidP="000B2AB4">
            <w:pPr>
              <w:spacing w:line="259" w:lineRule="auto"/>
              <w:jc w:val="center"/>
              <w:rPr>
                <w:sz w:val="24"/>
                <w:szCs w:val="24"/>
              </w:rPr>
            </w:pPr>
            <w:r w:rsidRPr="000D076C">
              <w:rPr>
                <w:rFonts w:ascii="宋体" w:eastAsia="宋体" w:hAnsi="宋体" w:cs="宋体"/>
                <w:sz w:val="24"/>
                <w:szCs w:val="24"/>
              </w:rPr>
              <w:t>序号</w:t>
            </w:r>
          </w:p>
        </w:tc>
        <w:tc>
          <w:tcPr>
            <w:tcW w:w="1184" w:type="dxa"/>
            <w:vAlign w:val="center"/>
          </w:tcPr>
          <w:p w:rsidR="00ED7907" w:rsidRPr="000D076C" w:rsidRDefault="00ED7907" w:rsidP="000B2AB4">
            <w:pPr>
              <w:spacing w:line="259" w:lineRule="auto"/>
              <w:rPr>
                <w:sz w:val="24"/>
                <w:szCs w:val="24"/>
              </w:rPr>
            </w:pPr>
            <w:r w:rsidRPr="000D076C">
              <w:rPr>
                <w:rFonts w:ascii="宋体" w:eastAsia="宋体" w:hAnsi="宋体" w:cs="宋体"/>
                <w:sz w:val="24"/>
                <w:szCs w:val="24"/>
              </w:rPr>
              <w:t>隐患类别</w:t>
            </w:r>
          </w:p>
        </w:tc>
        <w:tc>
          <w:tcPr>
            <w:tcW w:w="4252" w:type="dxa"/>
            <w:vAlign w:val="center"/>
          </w:tcPr>
          <w:p w:rsidR="00ED7907" w:rsidRPr="000D076C" w:rsidRDefault="00ED7907" w:rsidP="000B2AB4">
            <w:pPr>
              <w:spacing w:line="259" w:lineRule="auto"/>
              <w:ind w:right="92"/>
              <w:jc w:val="center"/>
              <w:rPr>
                <w:sz w:val="24"/>
                <w:szCs w:val="24"/>
              </w:rPr>
            </w:pPr>
            <w:r w:rsidRPr="000D076C">
              <w:rPr>
                <w:rFonts w:ascii="宋体" w:eastAsia="宋体" w:hAnsi="宋体" w:cs="宋体"/>
                <w:sz w:val="24"/>
                <w:szCs w:val="24"/>
              </w:rPr>
              <w:t>隐 患 目 录</w:t>
            </w:r>
          </w:p>
        </w:tc>
        <w:tc>
          <w:tcPr>
            <w:tcW w:w="3260" w:type="dxa"/>
            <w:vAlign w:val="center"/>
          </w:tcPr>
          <w:p w:rsidR="00ED7907" w:rsidRPr="000D076C" w:rsidRDefault="00ED7907" w:rsidP="000B2AB4">
            <w:pPr>
              <w:spacing w:line="259" w:lineRule="auto"/>
              <w:ind w:right="92"/>
              <w:jc w:val="center"/>
              <w:rPr>
                <w:rFonts w:ascii="宋体" w:eastAsia="宋体" w:hAnsi="宋体" w:cs="宋体"/>
                <w:sz w:val="24"/>
                <w:szCs w:val="24"/>
              </w:rPr>
            </w:pPr>
            <w:r>
              <w:rPr>
                <w:rFonts w:asciiTheme="majorEastAsia" w:eastAsiaTheme="majorEastAsia" w:hAnsiTheme="majorEastAsia" w:cs="宋体" w:hint="eastAsia"/>
                <w:sz w:val="24"/>
                <w:szCs w:val="24"/>
              </w:rPr>
              <w:t>检 查 情 况</w:t>
            </w:r>
          </w:p>
        </w:tc>
        <w:tc>
          <w:tcPr>
            <w:tcW w:w="1985" w:type="dxa"/>
            <w:vAlign w:val="center"/>
          </w:tcPr>
          <w:p w:rsidR="00ED7907" w:rsidRPr="000D076C" w:rsidRDefault="00ED7907" w:rsidP="000B2AB4">
            <w:pPr>
              <w:spacing w:line="259" w:lineRule="auto"/>
              <w:ind w:right="92"/>
              <w:jc w:val="center"/>
              <w:rPr>
                <w:rFonts w:ascii="宋体" w:eastAsia="宋体" w:hAnsi="宋体" w:cs="宋体"/>
                <w:sz w:val="24"/>
                <w:szCs w:val="24"/>
              </w:rPr>
            </w:pPr>
            <w:r>
              <w:rPr>
                <w:rFonts w:asciiTheme="majorEastAsia" w:eastAsiaTheme="majorEastAsia" w:hAnsiTheme="majorEastAsia" w:cs="宋体" w:hint="eastAsia"/>
                <w:sz w:val="24"/>
                <w:szCs w:val="24"/>
              </w:rPr>
              <w:t>检查人</w:t>
            </w:r>
          </w:p>
        </w:tc>
        <w:tc>
          <w:tcPr>
            <w:tcW w:w="2896" w:type="dxa"/>
            <w:vAlign w:val="center"/>
          </w:tcPr>
          <w:p w:rsidR="00ED7907" w:rsidRPr="000D076C" w:rsidRDefault="00ED7907" w:rsidP="000B2AB4">
            <w:pPr>
              <w:spacing w:line="259" w:lineRule="auto"/>
              <w:ind w:right="92"/>
              <w:jc w:val="center"/>
              <w:rPr>
                <w:rFonts w:ascii="宋体" w:eastAsia="宋体" w:hAnsi="宋体" w:cs="宋体"/>
                <w:sz w:val="24"/>
                <w:szCs w:val="24"/>
              </w:rPr>
            </w:pPr>
            <w:r>
              <w:rPr>
                <w:rFonts w:asciiTheme="majorEastAsia" w:eastAsiaTheme="majorEastAsia" w:hAnsiTheme="majorEastAsia" w:cs="宋体" w:hint="eastAsia"/>
                <w:sz w:val="24"/>
                <w:szCs w:val="24"/>
              </w:rPr>
              <w:t>整改计划</w:t>
            </w:r>
          </w:p>
        </w:tc>
      </w:tr>
      <w:tr w:rsidR="00ED7907" w:rsidRPr="000D076C" w:rsidTr="000B2AB4">
        <w:trPr>
          <w:trHeight w:val="638"/>
        </w:trPr>
        <w:tc>
          <w:tcPr>
            <w:tcW w:w="372" w:type="dxa"/>
            <w:vAlign w:val="center"/>
          </w:tcPr>
          <w:p w:rsidR="00ED7907" w:rsidRPr="000D076C" w:rsidRDefault="00ED7907" w:rsidP="000B2AB4">
            <w:pPr>
              <w:spacing w:line="259" w:lineRule="auto"/>
              <w:ind w:left="87"/>
              <w:rPr>
                <w:sz w:val="24"/>
                <w:szCs w:val="24"/>
              </w:rPr>
            </w:pPr>
            <w:r w:rsidRPr="000D076C">
              <w:rPr>
                <w:rFonts w:ascii="宋体" w:eastAsia="宋体" w:hAnsi="宋体" w:cs="宋体"/>
                <w:sz w:val="24"/>
                <w:szCs w:val="24"/>
              </w:rPr>
              <w:t>1</w:t>
            </w:r>
          </w:p>
        </w:tc>
        <w:tc>
          <w:tcPr>
            <w:tcW w:w="1184" w:type="dxa"/>
            <w:vMerge w:val="restart"/>
            <w:vAlign w:val="center"/>
          </w:tcPr>
          <w:p w:rsidR="00ED7907" w:rsidRPr="000D076C" w:rsidRDefault="00ED7907" w:rsidP="000B2AB4">
            <w:pPr>
              <w:spacing w:line="259" w:lineRule="auto"/>
              <w:jc w:val="center"/>
              <w:rPr>
                <w:sz w:val="24"/>
                <w:szCs w:val="24"/>
              </w:rPr>
            </w:pPr>
            <w:r w:rsidRPr="000D076C">
              <w:rPr>
                <w:rFonts w:hint="eastAsia"/>
                <w:sz w:val="24"/>
                <w:szCs w:val="24"/>
              </w:rPr>
              <w:t>管理类</w:t>
            </w:r>
          </w:p>
        </w:tc>
        <w:tc>
          <w:tcPr>
            <w:tcW w:w="4252" w:type="dxa"/>
          </w:tcPr>
          <w:p w:rsidR="00ED7907" w:rsidRPr="000D076C" w:rsidRDefault="00ED7907" w:rsidP="000B2AB4">
            <w:pPr>
              <w:spacing w:line="259" w:lineRule="auto"/>
              <w:ind w:left="20"/>
              <w:rPr>
                <w:sz w:val="24"/>
                <w:szCs w:val="24"/>
              </w:rPr>
            </w:pPr>
            <w:r w:rsidRPr="000D076C">
              <w:rPr>
                <w:sz w:val="24"/>
                <w:szCs w:val="24"/>
              </w:rPr>
              <w:t>特种作业人员未持证上岗。</w:t>
            </w:r>
          </w:p>
        </w:tc>
        <w:tc>
          <w:tcPr>
            <w:tcW w:w="3260" w:type="dxa"/>
          </w:tcPr>
          <w:p w:rsidR="00ED7907" w:rsidRPr="000D076C" w:rsidRDefault="00ED7907" w:rsidP="000B2AB4">
            <w:pPr>
              <w:spacing w:line="259" w:lineRule="auto"/>
              <w:ind w:left="20"/>
              <w:rPr>
                <w:sz w:val="24"/>
                <w:szCs w:val="24"/>
              </w:rPr>
            </w:pPr>
          </w:p>
        </w:tc>
        <w:tc>
          <w:tcPr>
            <w:tcW w:w="1985" w:type="dxa"/>
          </w:tcPr>
          <w:p w:rsidR="00ED7907" w:rsidRPr="000D076C" w:rsidRDefault="00ED7907" w:rsidP="000B2AB4">
            <w:pPr>
              <w:spacing w:line="259" w:lineRule="auto"/>
              <w:ind w:left="20"/>
              <w:rPr>
                <w:sz w:val="24"/>
                <w:szCs w:val="24"/>
              </w:rPr>
            </w:pPr>
          </w:p>
        </w:tc>
        <w:tc>
          <w:tcPr>
            <w:tcW w:w="2896" w:type="dxa"/>
          </w:tcPr>
          <w:p w:rsidR="00ED7907" w:rsidRPr="000D076C" w:rsidRDefault="00ED7907" w:rsidP="000B2AB4">
            <w:pPr>
              <w:spacing w:line="259" w:lineRule="auto"/>
              <w:ind w:left="20"/>
              <w:rPr>
                <w:sz w:val="24"/>
                <w:szCs w:val="24"/>
              </w:rPr>
            </w:pPr>
          </w:p>
        </w:tc>
      </w:tr>
      <w:tr w:rsidR="00ED7907" w:rsidRPr="000D076C" w:rsidTr="000B2AB4">
        <w:trPr>
          <w:trHeight w:val="632"/>
        </w:trPr>
        <w:tc>
          <w:tcPr>
            <w:tcW w:w="372" w:type="dxa"/>
            <w:vAlign w:val="center"/>
          </w:tcPr>
          <w:p w:rsidR="00ED7907" w:rsidRPr="000D076C" w:rsidRDefault="00ED7907" w:rsidP="000B2AB4">
            <w:pPr>
              <w:spacing w:line="259" w:lineRule="auto"/>
              <w:ind w:left="87"/>
              <w:rPr>
                <w:sz w:val="24"/>
                <w:szCs w:val="24"/>
              </w:rPr>
            </w:pPr>
            <w:r w:rsidRPr="000D076C">
              <w:rPr>
                <w:rFonts w:ascii="宋体" w:eastAsia="宋体" w:hAnsi="宋体" w:cs="宋体"/>
                <w:sz w:val="24"/>
                <w:szCs w:val="24"/>
              </w:rPr>
              <w:t>2</w:t>
            </w:r>
          </w:p>
        </w:tc>
        <w:tc>
          <w:tcPr>
            <w:tcW w:w="1184" w:type="dxa"/>
            <w:vMerge/>
          </w:tcPr>
          <w:p w:rsidR="00ED7907" w:rsidRPr="000D076C" w:rsidRDefault="00ED7907" w:rsidP="000B2AB4">
            <w:pPr>
              <w:spacing w:after="160" w:line="259" w:lineRule="auto"/>
              <w:rPr>
                <w:sz w:val="24"/>
                <w:szCs w:val="24"/>
              </w:rPr>
            </w:pPr>
          </w:p>
        </w:tc>
        <w:tc>
          <w:tcPr>
            <w:tcW w:w="4252" w:type="dxa"/>
          </w:tcPr>
          <w:p w:rsidR="00ED7907" w:rsidRPr="000D076C" w:rsidRDefault="00ED7907" w:rsidP="000B2AB4">
            <w:pPr>
              <w:spacing w:line="259" w:lineRule="auto"/>
              <w:ind w:left="20"/>
              <w:rPr>
                <w:sz w:val="24"/>
                <w:szCs w:val="24"/>
              </w:rPr>
            </w:pPr>
            <w:r w:rsidRPr="000D076C">
              <w:rPr>
                <w:sz w:val="24"/>
                <w:szCs w:val="24"/>
              </w:rPr>
              <w:t>未建立与岗位相匹配的全员安全生产责任制或者未制定实施生产安全事故隐患排查治理制度。</w:t>
            </w:r>
          </w:p>
        </w:tc>
        <w:tc>
          <w:tcPr>
            <w:tcW w:w="3260" w:type="dxa"/>
          </w:tcPr>
          <w:p w:rsidR="00ED7907" w:rsidRPr="000D076C" w:rsidRDefault="00ED7907" w:rsidP="000B2AB4">
            <w:pPr>
              <w:spacing w:line="259" w:lineRule="auto"/>
              <w:ind w:left="20"/>
              <w:rPr>
                <w:sz w:val="24"/>
                <w:szCs w:val="24"/>
              </w:rPr>
            </w:pPr>
          </w:p>
        </w:tc>
        <w:tc>
          <w:tcPr>
            <w:tcW w:w="1985" w:type="dxa"/>
          </w:tcPr>
          <w:p w:rsidR="00ED7907" w:rsidRPr="000D076C" w:rsidRDefault="00ED7907" w:rsidP="000B2AB4">
            <w:pPr>
              <w:spacing w:line="259" w:lineRule="auto"/>
              <w:ind w:left="20"/>
              <w:rPr>
                <w:sz w:val="24"/>
                <w:szCs w:val="24"/>
              </w:rPr>
            </w:pPr>
          </w:p>
        </w:tc>
        <w:tc>
          <w:tcPr>
            <w:tcW w:w="2896" w:type="dxa"/>
          </w:tcPr>
          <w:p w:rsidR="00ED7907" w:rsidRPr="000D076C" w:rsidRDefault="00ED7907" w:rsidP="000B2AB4">
            <w:pPr>
              <w:spacing w:line="259" w:lineRule="auto"/>
              <w:ind w:left="20"/>
              <w:rPr>
                <w:sz w:val="24"/>
                <w:szCs w:val="24"/>
              </w:rPr>
            </w:pPr>
          </w:p>
        </w:tc>
      </w:tr>
      <w:tr w:rsidR="00ED7907" w:rsidRPr="000D076C" w:rsidTr="000B2AB4">
        <w:trPr>
          <w:trHeight w:val="407"/>
        </w:trPr>
        <w:tc>
          <w:tcPr>
            <w:tcW w:w="372" w:type="dxa"/>
          </w:tcPr>
          <w:p w:rsidR="00ED7907" w:rsidRPr="000D076C" w:rsidRDefault="00ED7907" w:rsidP="000B2AB4">
            <w:pPr>
              <w:spacing w:line="259" w:lineRule="auto"/>
              <w:ind w:left="87"/>
              <w:rPr>
                <w:sz w:val="24"/>
                <w:szCs w:val="24"/>
              </w:rPr>
            </w:pPr>
            <w:r w:rsidRPr="000D076C">
              <w:rPr>
                <w:rFonts w:ascii="宋体" w:eastAsia="宋体" w:hAnsi="宋体" w:cs="宋体"/>
                <w:sz w:val="24"/>
                <w:szCs w:val="24"/>
              </w:rPr>
              <w:t>3</w:t>
            </w:r>
          </w:p>
        </w:tc>
        <w:tc>
          <w:tcPr>
            <w:tcW w:w="1184" w:type="dxa"/>
            <w:vMerge/>
          </w:tcPr>
          <w:p w:rsidR="00ED7907" w:rsidRPr="000D076C" w:rsidRDefault="00ED7907" w:rsidP="000B2AB4">
            <w:pPr>
              <w:spacing w:after="160" w:line="259" w:lineRule="auto"/>
              <w:rPr>
                <w:sz w:val="24"/>
                <w:szCs w:val="24"/>
              </w:rPr>
            </w:pPr>
          </w:p>
        </w:tc>
        <w:tc>
          <w:tcPr>
            <w:tcW w:w="4252" w:type="dxa"/>
          </w:tcPr>
          <w:p w:rsidR="00ED7907" w:rsidRPr="000D076C" w:rsidRDefault="00ED7907" w:rsidP="000B2AB4">
            <w:pPr>
              <w:spacing w:after="98" w:line="333" w:lineRule="auto"/>
              <w:ind w:left="-15" w:right="146"/>
              <w:rPr>
                <w:sz w:val="24"/>
                <w:szCs w:val="24"/>
              </w:rPr>
            </w:pPr>
            <w:r w:rsidRPr="000D076C">
              <w:rPr>
                <w:sz w:val="24"/>
                <w:szCs w:val="24"/>
              </w:rPr>
              <w:t>未制定操作规程和工艺控制指标。</w:t>
            </w:r>
          </w:p>
        </w:tc>
        <w:tc>
          <w:tcPr>
            <w:tcW w:w="3260" w:type="dxa"/>
          </w:tcPr>
          <w:p w:rsidR="00ED7907" w:rsidRPr="000D076C" w:rsidRDefault="00ED7907" w:rsidP="000B2AB4">
            <w:pPr>
              <w:spacing w:after="98" w:line="333" w:lineRule="auto"/>
              <w:ind w:left="-15" w:right="146"/>
              <w:rPr>
                <w:sz w:val="24"/>
                <w:szCs w:val="24"/>
              </w:rPr>
            </w:pPr>
          </w:p>
        </w:tc>
        <w:tc>
          <w:tcPr>
            <w:tcW w:w="1985" w:type="dxa"/>
          </w:tcPr>
          <w:p w:rsidR="00ED7907" w:rsidRPr="000D076C" w:rsidRDefault="00ED7907" w:rsidP="000B2AB4">
            <w:pPr>
              <w:spacing w:after="98" w:line="333" w:lineRule="auto"/>
              <w:ind w:left="-15" w:right="146"/>
              <w:rPr>
                <w:sz w:val="24"/>
                <w:szCs w:val="24"/>
              </w:rPr>
            </w:pPr>
          </w:p>
        </w:tc>
        <w:tc>
          <w:tcPr>
            <w:tcW w:w="2896" w:type="dxa"/>
          </w:tcPr>
          <w:p w:rsidR="00ED7907" w:rsidRPr="000D076C" w:rsidRDefault="00ED7907" w:rsidP="000B2AB4">
            <w:pPr>
              <w:spacing w:after="98" w:line="333" w:lineRule="auto"/>
              <w:ind w:left="-15" w:right="146"/>
              <w:rPr>
                <w:sz w:val="24"/>
                <w:szCs w:val="24"/>
              </w:rPr>
            </w:pPr>
          </w:p>
        </w:tc>
      </w:tr>
      <w:tr w:rsidR="00ED7907" w:rsidRPr="000D076C" w:rsidTr="000B2AB4">
        <w:trPr>
          <w:trHeight w:val="407"/>
        </w:trPr>
        <w:tc>
          <w:tcPr>
            <w:tcW w:w="372" w:type="dxa"/>
          </w:tcPr>
          <w:p w:rsidR="00ED7907" w:rsidRPr="000D076C" w:rsidRDefault="00ED7907" w:rsidP="000B2AB4">
            <w:pPr>
              <w:spacing w:line="259" w:lineRule="auto"/>
              <w:ind w:left="87"/>
              <w:rPr>
                <w:sz w:val="24"/>
                <w:szCs w:val="24"/>
              </w:rPr>
            </w:pPr>
            <w:r w:rsidRPr="000D076C">
              <w:rPr>
                <w:rFonts w:ascii="宋体" w:eastAsia="宋体" w:hAnsi="宋体" w:cs="宋体"/>
                <w:sz w:val="24"/>
                <w:szCs w:val="24"/>
              </w:rPr>
              <w:t>4</w:t>
            </w:r>
          </w:p>
        </w:tc>
        <w:tc>
          <w:tcPr>
            <w:tcW w:w="1184" w:type="dxa"/>
            <w:vMerge/>
          </w:tcPr>
          <w:p w:rsidR="00ED7907" w:rsidRPr="000D076C" w:rsidRDefault="00ED7907" w:rsidP="000B2AB4">
            <w:pPr>
              <w:spacing w:after="160" w:line="259" w:lineRule="auto"/>
              <w:rPr>
                <w:sz w:val="24"/>
                <w:szCs w:val="24"/>
              </w:rPr>
            </w:pPr>
          </w:p>
        </w:tc>
        <w:tc>
          <w:tcPr>
            <w:tcW w:w="4252" w:type="dxa"/>
          </w:tcPr>
          <w:p w:rsidR="00ED7907" w:rsidRPr="000D076C" w:rsidRDefault="00ED7907" w:rsidP="000B2AB4">
            <w:pPr>
              <w:spacing w:line="259" w:lineRule="auto"/>
              <w:ind w:left="20"/>
              <w:rPr>
                <w:sz w:val="24"/>
                <w:szCs w:val="24"/>
              </w:rPr>
            </w:pPr>
            <w:r w:rsidRPr="000D076C">
              <w:rPr>
                <w:sz w:val="24"/>
                <w:szCs w:val="24"/>
              </w:rPr>
              <w:t>未按国家标准分区分类储存危险化学品，超量、超品种储存危险化学品，相互禁配物质混放混存。</w:t>
            </w:r>
          </w:p>
        </w:tc>
        <w:tc>
          <w:tcPr>
            <w:tcW w:w="3260" w:type="dxa"/>
          </w:tcPr>
          <w:p w:rsidR="00ED7907" w:rsidRPr="000D076C" w:rsidRDefault="00ED7907" w:rsidP="000B2AB4">
            <w:pPr>
              <w:spacing w:line="259" w:lineRule="auto"/>
              <w:ind w:left="20"/>
              <w:rPr>
                <w:sz w:val="24"/>
                <w:szCs w:val="24"/>
              </w:rPr>
            </w:pPr>
          </w:p>
        </w:tc>
        <w:tc>
          <w:tcPr>
            <w:tcW w:w="1985" w:type="dxa"/>
          </w:tcPr>
          <w:p w:rsidR="00ED7907" w:rsidRPr="000D076C" w:rsidRDefault="00ED7907" w:rsidP="000B2AB4">
            <w:pPr>
              <w:spacing w:line="259" w:lineRule="auto"/>
              <w:ind w:left="20"/>
              <w:rPr>
                <w:sz w:val="24"/>
                <w:szCs w:val="24"/>
              </w:rPr>
            </w:pPr>
          </w:p>
        </w:tc>
        <w:tc>
          <w:tcPr>
            <w:tcW w:w="2896" w:type="dxa"/>
          </w:tcPr>
          <w:p w:rsidR="00ED7907" w:rsidRPr="000D076C" w:rsidRDefault="00ED7907" w:rsidP="000B2AB4">
            <w:pPr>
              <w:spacing w:line="259" w:lineRule="auto"/>
              <w:ind w:left="20"/>
              <w:rPr>
                <w:sz w:val="24"/>
                <w:szCs w:val="24"/>
              </w:rPr>
            </w:pPr>
          </w:p>
        </w:tc>
      </w:tr>
    </w:tbl>
    <w:p w:rsidR="00DF50FA" w:rsidRPr="00ED7907" w:rsidRDefault="00DF50FA"/>
    <w:sectPr w:rsidR="00DF50FA" w:rsidRPr="00ED7907" w:rsidSect="00ED79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87" w:rsidRDefault="00EB6F87" w:rsidP="00ED7907">
      <w:r>
        <w:separator/>
      </w:r>
    </w:p>
  </w:endnote>
  <w:endnote w:type="continuationSeparator" w:id="0">
    <w:p w:rsidR="00EB6F87" w:rsidRDefault="00EB6F87" w:rsidP="00ED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87" w:rsidRDefault="00EB6F87" w:rsidP="00ED7907">
      <w:r>
        <w:separator/>
      </w:r>
    </w:p>
  </w:footnote>
  <w:footnote w:type="continuationSeparator" w:id="0">
    <w:p w:rsidR="00EB6F87" w:rsidRDefault="00EB6F87" w:rsidP="00ED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6E"/>
    <w:rsid w:val="0018736E"/>
    <w:rsid w:val="00DF50FA"/>
    <w:rsid w:val="00EB6F87"/>
    <w:rsid w:val="00ED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4D8547-2239-49BF-8050-321D0FA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9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7907"/>
    <w:rPr>
      <w:sz w:val="18"/>
      <w:szCs w:val="18"/>
    </w:rPr>
  </w:style>
  <w:style w:type="paragraph" w:styleId="a5">
    <w:name w:val="footer"/>
    <w:basedOn w:val="a"/>
    <w:link w:val="a6"/>
    <w:uiPriority w:val="99"/>
    <w:unhideWhenUsed/>
    <w:rsid w:val="00ED7907"/>
    <w:pPr>
      <w:tabs>
        <w:tab w:val="center" w:pos="4153"/>
        <w:tab w:val="right" w:pos="8306"/>
      </w:tabs>
      <w:snapToGrid w:val="0"/>
      <w:jc w:val="left"/>
    </w:pPr>
    <w:rPr>
      <w:sz w:val="18"/>
      <w:szCs w:val="18"/>
    </w:rPr>
  </w:style>
  <w:style w:type="character" w:customStyle="1" w:styleId="a6">
    <w:name w:val="页脚 字符"/>
    <w:basedOn w:val="a0"/>
    <w:link w:val="a5"/>
    <w:uiPriority w:val="99"/>
    <w:rsid w:val="00ED7907"/>
    <w:rPr>
      <w:sz w:val="18"/>
      <w:szCs w:val="18"/>
    </w:rPr>
  </w:style>
  <w:style w:type="table" w:customStyle="1" w:styleId="TableGrid">
    <w:name w:val="TableGrid"/>
    <w:rsid w:val="00ED790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2023-06-15T01:01:00Z</dcterms:created>
  <dcterms:modified xsi:type="dcterms:W3CDTF">2023-06-15T01:01:00Z</dcterms:modified>
</cp:coreProperties>
</file>