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14" w:rsidRDefault="00007714" w:rsidP="00007714">
      <w:pPr>
        <w:widowControl/>
        <w:spacing w:line="420" w:lineRule="atLeast"/>
        <w:ind w:firstLineChars="100" w:firstLine="482"/>
        <w:jc w:val="center"/>
        <w:rPr>
          <w:rFonts w:ascii="仿宋" w:eastAsia="仿宋" w:hAnsi="仿宋" w:cs="仿宋"/>
          <w:b/>
          <w:kern w:val="0"/>
          <w:sz w:val="48"/>
          <w:szCs w:val="32"/>
        </w:rPr>
      </w:pPr>
      <w:bookmarkStart w:id="0" w:name="_GoBack"/>
      <w:r>
        <w:rPr>
          <w:rFonts w:ascii="仿宋" w:eastAsia="仿宋" w:hAnsi="仿宋" w:cs="仿宋" w:hint="eastAsia"/>
          <w:b/>
          <w:kern w:val="0"/>
          <w:sz w:val="48"/>
          <w:szCs w:val="32"/>
        </w:rPr>
        <w:t>消防</w:t>
      </w:r>
      <w:r w:rsidRPr="00F90C40">
        <w:rPr>
          <w:rFonts w:ascii="仿宋" w:eastAsia="仿宋" w:hAnsi="仿宋" w:cs="仿宋" w:hint="eastAsia"/>
          <w:b/>
          <w:kern w:val="0"/>
          <w:sz w:val="48"/>
          <w:szCs w:val="32"/>
        </w:rPr>
        <w:t>重大事故隐患排查表</w:t>
      </w:r>
      <w:bookmarkEnd w:id="0"/>
    </w:p>
    <w:p w:rsidR="00007714" w:rsidRDefault="00007714" w:rsidP="00007714">
      <w:pPr>
        <w:widowControl/>
        <w:spacing w:line="420" w:lineRule="atLeast"/>
        <w:ind w:firstLineChars="100" w:firstLine="320"/>
        <w:jc w:val="left"/>
        <w:rPr>
          <w:rFonts w:ascii="仿宋" w:eastAsia="仿宋" w:hAnsi="仿宋" w:cs="仿宋"/>
          <w:kern w:val="0"/>
          <w:sz w:val="32"/>
          <w:szCs w:val="32"/>
        </w:rPr>
      </w:pPr>
      <w:r>
        <w:rPr>
          <w:rFonts w:ascii="仿宋" w:eastAsia="仿宋" w:hAnsi="仿宋" w:cs="仿宋" w:hint="eastAsia"/>
          <w:kern w:val="0"/>
          <w:sz w:val="32"/>
          <w:szCs w:val="32"/>
        </w:rPr>
        <w:t xml:space="preserve">部门： </w:t>
      </w:r>
      <w:r>
        <w:rPr>
          <w:rFonts w:ascii="仿宋" w:eastAsia="仿宋" w:hAnsi="仿宋" w:cs="仿宋"/>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 xml:space="preserve">主要责任人： </w:t>
      </w:r>
      <w:r>
        <w:rPr>
          <w:rFonts w:ascii="仿宋" w:eastAsia="仿宋" w:hAnsi="仿宋" w:cs="仿宋"/>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负责人：</w:t>
      </w:r>
    </w:p>
    <w:tbl>
      <w:tblPr>
        <w:tblStyle w:val="TableGrid"/>
        <w:tblW w:w="13939" w:type="dxa"/>
        <w:tblInd w:w="-1" w:type="dxa"/>
        <w:tblCellMar>
          <w:top w:w="39" w:type="dxa"/>
          <w:left w:w="90" w:type="dxa"/>
          <w:right w:w="9" w:type="dxa"/>
        </w:tblCellMar>
        <w:tblLook w:val="04A0" w:firstRow="1" w:lastRow="0" w:firstColumn="1" w:lastColumn="0" w:noHBand="0" w:noVBand="1"/>
      </w:tblPr>
      <w:tblGrid>
        <w:gridCol w:w="389"/>
        <w:gridCol w:w="819"/>
        <w:gridCol w:w="5304"/>
        <w:gridCol w:w="2835"/>
        <w:gridCol w:w="2126"/>
        <w:gridCol w:w="2466"/>
      </w:tblGrid>
      <w:tr w:rsidR="00007714" w:rsidRPr="00007714" w:rsidTr="000B2AB4">
        <w:trPr>
          <w:trHeight w:val="642"/>
        </w:trPr>
        <w:tc>
          <w:tcPr>
            <w:tcW w:w="389" w:type="dxa"/>
            <w:tcBorders>
              <w:top w:val="single" w:sz="8" w:space="0" w:color="000000"/>
              <w:left w:val="single" w:sz="8" w:space="0" w:color="000000"/>
              <w:bottom w:val="single" w:sz="8" w:space="0" w:color="000000"/>
              <w:right w:val="single" w:sz="4" w:space="0" w:color="000000"/>
            </w:tcBorders>
          </w:tcPr>
          <w:p w:rsidR="00007714" w:rsidRPr="00007714" w:rsidRDefault="00007714" w:rsidP="000B2AB4">
            <w:pPr>
              <w:spacing w:line="259" w:lineRule="auto"/>
              <w:jc w:val="center"/>
              <w:rPr>
                <w:rFonts w:ascii="宋体" w:eastAsia="宋体" w:hAnsi="宋体"/>
                <w:sz w:val="24"/>
                <w:szCs w:val="24"/>
              </w:rPr>
            </w:pPr>
            <w:r w:rsidRPr="00007714">
              <w:rPr>
                <w:rFonts w:ascii="宋体" w:eastAsia="宋体" w:hAnsi="宋体" w:cs="宋体"/>
                <w:sz w:val="24"/>
                <w:szCs w:val="24"/>
              </w:rPr>
              <w:t>序号</w:t>
            </w:r>
          </w:p>
        </w:tc>
        <w:tc>
          <w:tcPr>
            <w:tcW w:w="819" w:type="dxa"/>
            <w:tcBorders>
              <w:top w:val="single" w:sz="8" w:space="0" w:color="000000"/>
              <w:left w:val="single" w:sz="4" w:space="0" w:color="000000"/>
              <w:bottom w:val="single" w:sz="8" w:space="0" w:color="000000"/>
              <w:right w:val="single" w:sz="4" w:space="0" w:color="000000"/>
            </w:tcBorders>
            <w:vAlign w:val="center"/>
          </w:tcPr>
          <w:p w:rsidR="00007714" w:rsidRPr="00007714" w:rsidRDefault="00007714" w:rsidP="000B2AB4">
            <w:pPr>
              <w:spacing w:line="259" w:lineRule="auto"/>
              <w:rPr>
                <w:rFonts w:ascii="宋体" w:eastAsia="宋体" w:hAnsi="宋体"/>
                <w:sz w:val="24"/>
                <w:szCs w:val="24"/>
              </w:rPr>
            </w:pPr>
            <w:r w:rsidRPr="00007714">
              <w:rPr>
                <w:rFonts w:ascii="宋体" w:eastAsia="宋体" w:hAnsi="宋体" w:cs="宋体"/>
                <w:sz w:val="24"/>
                <w:szCs w:val="24"/>
              </w:rPr>
              <w:t>隐患类别</w:t>
            </w:r>
          </w:p>
        </w:tc>
        <w:tc>
          <w:tcPr>
            <w:tcW w:w="5304" w:type="dxa"/>
            <w:tcBorders>
              <w:top w:val="single" w:sz="8" w:space="0" w:color="000000"/>
              <w:left w:val="single" w:sz="4" w:space="0" w:color="000000"/>
              <w:bottom w:val="single" w:sz="8" w:space="0" w:color="000000"/>
              <w:right w:val="single" w:sz="8" w:space="0" w:color="000000"/>
            </w:tcBorders>
            <w:vAlign w:val="center"/>
          </w:tcPr>
          <w:p w:rsidR="00007714" w:rsidRPr="00007714" w:rsidRDefault="00007714" w:rsidP="000B2AB4">
            <w:pPr>
              <w:spacing w:line="259" w:lineRule="auto"/>
              <w:ind w:right="92"/>
              <w:jc w:val="center"/>
              <w:rPr>
                <w:rFonts w:ascii="宋体" w:eastAsia="宋体" w:hAnsi="宋体"/>
                <w:sz w:val="24"/>
                <w:szCs w:val="24"/>
              </w:rPr>
            </w:pPr>
            <w:r w:rsidRPr="00007714">
              <w:rPr>
                <w:rFonts w:ascii="宋体" w:eastAsia="宋体" w:hAnsi="宋体" w:cs="宋体"/>
                <w:sz w:val="24"/>
                <w:szCs w:val="24"/>
              </w:rPr>
              <w:t>隐 患 目 录</w:t>
            </w:r>
          </w:p>
        </w:tc>
        <w:tc>
          <w:tcPr>
            <w:tcW w:w="2835" w:type="dxa"/>
            <w:tcBorders>
              <w:top w:val="single" w:sz="8" w:space="0" w:color="000000"/>
              <w:left w:val="single" w:sz="4" w:space="0" w:color="000000"/>
              <w:bottom w:val="single" w:sz="8" w:space="0" w:color="000000"/>
              <w:right w:val="single" w:sz="8" w:space="0" w:color="000000"/>
            </w:tcBorders>
            <w:vAlign w:val="center"/>
          </w:tcPr>
          <w:p w:rsidR="00007714" w:rsidRPr="00007714" w:rsidRDefault="00007714" w:rsidP="000B2AB4">
            <w:pPr>
              <w:spacing w:line="259" w:lineRule="auto"/>
              <w:ind w:right="92"/>
              <w:jc w:val="center"/>
              <w:rPr>
                <w:rFonts w:ascii="宋体" w:eastAsia="宋体" w:hAnsi="宋体" w:cs="宋体"/>
                <w:sz w:val="24"/>
                <w:szCs w:val="24"/>
              </w:rPr>
            </w:pPr>
            <w:r w:rsidRPr="00007714">
              <w:rPr>
                <w:rFonts w:ascii="宋体" w:eastAsia="宋体" w:hAnsi="宋体" w:cs="宋体" w:hint="eastAsia"/>
                <w:sz w:val="24"/>
                <w:szCs w:val="24"/>
              </w:rPr>
              <w:t>检 查 情 况</w:t>
            </w:r>
          </w:p>
        </w:tc>
        <w:tc>
          <w:tcPr>
            <w:tcW w:w="2126" w:type="dxa"/>
            <w:tcBorders>
              <w:top w:val="single" w:sz="8" w:space="0" w:color="000000"/>
              <w:left w:val="single" w:sz="4" w:space="0" w:color="000000"/>
              <w:bottom w:val="single" w:sz="8" w:space="0" w:color="000000"/>
              <w:right w:val="single" w:sz="8" w:space="0" w:color="000000"/>
            </w:tcBorders>
            <w:vAlign w:val="center"/>
          </w:tcPr>
          <w:p w:rsidR="00007714" w:rsidRPr="00007714" w:rsidRDefault="00007714" w:rsidP="000B2AB4">
            <w:pPr>
              <w:spacing w:line="259" w:lineRule="auto"/>
              <w:ind w:right="92"/>
              <w:jc w:val="center"/>
              <w:rPr>
                <w:rFonts w:ascii="宋体" w:eastAsia="宋体" w:hAnsi="宋体" w:cs="宋体"/>
                <w:sz w:val="24"/>
                <w:szCs w:val="24"/>
              </w:rPr>
            </w:pPr>
            <w:r w:rsidRPr="00007714">
              <w:rPr>
                <w:rFonts w:ascii="宋体" w:eastAsia="宋体" w:hAnsi="宋体" w:cs="宋体" w:hint="eastAsia"/>
                <w:sz w:val="24"/>
                <w:szCs w:val="24"/>
              </w:rPr>
              <w:t>检查人</w:t>
            </w:r>
          </w:p>
        </w:tc>
        <w:tc>
          <w:tcPr>
            <w:tcW w:w="2466" w:type="dxa"/>
            <w:tcBorders>
              <w:top w:val="single" w:sz="8" w:space="0" w:color="000000"/>
              <w:left w:val="single" w:sz="4" w:space="0" w:color="000000"/>
              <w:bottom w:val="single" w:sz="8" w:space="0" w:color="000000"/>
              <w:right w:val="single" w:sz="8" w:space="0" w:color="000000"/>
            </w:tcBorders>
            <w:vAlign w:val="center"/>
          </w:tcPr>
          <w:p w:rsidR="00007714" w:rsidRPr="00007714" w:rsidRDefault="00007714" w:rsidP="000B2AB4">
            <w:pPr>
              <w:spacing w:line="259" w:lineRule="auto"/>
              <w:ind w:right="92"/>
              <w:jc w:val="center"/>
              <w:rPr>
                <w:rFonts w:ascii="宋体" w:eastAsia="宋体" w:hAnsi="宋体" w:cs="宋体"/>
                <w:sz w:val="24"/>
                <w:szCs w:val="24"/>
              </w:rPr>
            </w:pPr>
            <w:r w:rsidRPr="00007714">
              <w:rPr>
                <w:rFonts w:ascii="宋体" w:eastAsia="宋体" w:hAnsi="宋体" w:cs="宋体" w:hint="eastAsia"/>
                <w:sz w:val="24"/>
                <w:szCs w:val="24"/>
              </w:rPr>
              <w:t>整改计划</w:t>
            </w:r>
          </w:p>
        </w:tc>
      </w:tr>
      <w:tr w:rsidR="00007714" w:rsidRPr="00007714" w:rsidTr="000B2AB4">
        <w:trPr>
          <w:trHeight w:val="638"/>
        </w:trPr>
        <w:tc>
          <w:tcPr>
            <w:tcW w:w="389" w:type="dxa"/>
            <w:tcBorders>
              <w:top w:val="single" w:sz="8" w:space="0" w:color="000000"/>
              <w:left w:val="single" w:sz="8" w:space="0" w:color="000000"/>
              <w:bottom w:val="single" w:sz="4" w:space="0" w:color="000000"/>
              <w:right w:val="single" w:sz="4" w:space="0" w:color="000000"/>
            </w:tcBorders>
            <w:vAlign w:val="center"/>
          </w:tcPr>
          <w:p w:rsidR="00007714" w:rsidRPr="00007714" w:rsidRDefault="00007714" w:rsidP="000B2AB4">
            <w:pPr>
              <w:spacing w:line="259" w:lineRule="auto"/>
              <w:ind w:left="87"/>
              <w:rPr>
                <w:rFonts w:ascii="宋体" w:eastAsia="宋体" w:hAnsi="宋体"/>
                <w:sz w:val="24"/>
                <w:szCs w:val="24"/>
              </w:rPr>
            </w:pPr>
            <w:r w:rsidRPr="00007714">
              <w:rPr>
                <w:rFonts w:ascii="宋体" w:eastAsia="宋体" w:hAnsi="宋体" w:cs="宋体"/>
                <w:sz w:val="24"/>
                <w:szCs w:val="24"/>
              </w:rPr>
              <w:t>1</w:t>
            </w:r>
          </w:p>
        </w:tc>
        <w:tc>
          <w:tcPr>
            <w:tcW w:w="819" w:type="dxa"/>
            <w:vMerge w:val="restart"/>
            <w:tcBorders>
              <w:top w:val="single" w:sz="8" w:space="0" w:color="000000"/>
              <w:left w:val="single" w:sz="4" w:space="0" w:color="000000"/>
              <w:bottom w:val="single" w:sz="4" w:space="0" w:color="000000"/>
              <w:right w:val="single" w:sz="4" w:space="0" w:color="000000"/>
            </w:tcBorders>
            <w:vAlign w:val="center"/>
          </w:tcPr>
          <w:p w:rsidR="00007714" w:rsidRPr="00007714" w:rsidRDefault="00007714" w:rsidP="000B2AB4">
            <w:pPr>
              <w:spacing w:line="259" w:lineRule="auto"/>
              <w:jc w:val="center"/>
              <w:rPr>
                <w:rFonts w:ascii="宋体" w:eastAsia="宋体" w:hAnsi="宋体"/>
                <w:sz w:val="24"/>
                <w:szCs w:val="24"/>
              </w:rPr>
            </w:pPr>
            <w:r w:rsidRPr="00007714">
              <w:rPr>
                <w:rFonts w:ascii="宋体" w:eastAsia="宋体" w:hAnsi="宋体" w:hint="eastAsia"/>
                <w:sz w:val="24"/>
                <w:szCs w:val="24"/>
              </w:rPr>
              <w:t>建筑类</w:t>
            </w:r>
          </w:p>
        </w:tc>
        <w:tc>
          <w:tcPr>
            <w:tcW w:w="5304" w:type="dxa"/>
            <w:tcBorders>
              <w:top w:val="single" w:sz="8"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未按国家工程建设消防技术标准的规定或城市消防规划的要求设置消防车道或消防车道被堵塞、占用。</w:t>
            </w:r>
          </w:p>
        </w:tc>
        <w:tc>
          <w:tcPr>
            <w:tcW w:w="2835" w:type="dxa"/>
            <w:tcBorders>
              <w:top w:val="single" w:sz="8"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8"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8"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632"/>
        </w:trPr>
        <w:tc>
          <w:tcPr>
            <w:tcW w:w="389" w:type="dxa"/>
            <w:tcBorders>
              <w:top w:val="single" w:sz="4" w:space="0" w:color="000000"/>
              <w:left w:val="single" w:sz="8" w:space="0" w:color="000000"/>
              <w:bottom w:val="single" w:sz="4" w:space="0" w:color="000000"/>
              <w:right w:val="single" w:sz="4" w:space="0" w:color="000000"/>
            </w:tcBorders>
            <w:vAlign w:val="center"/>
          </w:tcPr>
          <w:p w:rsidR="00007714" w:rsidRPr="00007714" w:rsidRDefault="00007714" w:rsidP="000B2AB4">
            <w:pPr>
              <w:spacing w:line="259" w:lineRule="auto"/>
              <w:ind w:left="87"/>
              <w:rPr>
                <w:rFonts w:ascii="宋体" w:eastAsia="宋体" w:hAnsi="宋体"/>
                <w:sz w:val="24"/>
                <w:szCs w:val="24"/>
              </w:rPr>
            </w:pPr>
            <w:r w:rsidRPr="00007714">
              <w:rPr>
                <w:rFonts w:ascii="宋体" w:eastAsia="宋体" w:hAnsi="宋体" w:cs="宋体"/>
                <w:sz w:val="24"/>
                <w:szCs w:val="24"/>
              </w:rPr>
              <w:t>2</w:t>
            </w:r>
          </w:p>
        </w:tc>
        <w:tc>
          <w:tcPr>
            <w:tcW w:w="0" w:type="auto"/>
            <w:vMerge/>
            <w:tcBorders>
              <w:top w:val="nil"/>
              <w:left w:val="single" w:sz="4" w:space="0" w:color="000000"/>
              <w:bottom w:val="nil"/>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防火门、防火卷帘等防火分隔设施损坏的数量大于该防火分区相应防火分隔设施总数的</w:t>
            </w:r>
            <w:r w:rsidRPr="00007714">
              <w:rPr>
                <w:rFonts w:ascii="宋体" w:eastAsia="宋体" w:hAnsi="宋体" w:cs="宋体"/>
                <w:sz w:val="24"/>
                <w:szCs w:val="24"/>
              </w:rPr>
              <w:t>50%</w:t>
            </w:r>
            <w:r w:rsidRPr="00007714">
              <w:rPr>
                <w:rFonts w:ascii="宋体" w:eastAsia="宋体" w:hAnsi="宋体"/>
                <w:sz w:val="24"/>
                <w:szCs w:val="24"/>
              </w:rPr>
              <w:t>。</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407"/>
        </w:trPr>
        <w:tc>
          <w:tcPr>
            <w:tcW w:w="389" w:type="dxa"/>
            <w:tcBorders>
              <w:top w:val="single" w:sz="4" w:space="0" w:color="000000"/>
              <w:left w:val="single" w:sz="8" w:space="0" w:color="000000"/>
              <w:bottom w:val="single" w:sz="4" w:space="0" w:color="000000"/>
              <w:right w:val="single" w:sz="4" w:space="0" w:color="000000"/>
            </w:tcBorders>
          </w:tcPr>
          <w:p w:rsidR="00007714" w:rsidRPr="00007714" w:rsidRDefault="00007714" w:rsidP="000B2AB4">
            <w:pPr>
              <w:spacing w:line="259" w:lineRule="auto"/>
              <w:ind w:left="87"/>
              <w:rPr>
                <w:rFonts w:ascii="宋体" w:eastAsia="宋体" w:hAnsi="宋体"/>
                <w:sz w:val="24"/>
                <w:szCs w:val="24"/>
              </w:rPr>
            </w:pPr>
            <w:r w:rsidRPr="00007714">
              <w:rPr>
                <w:rFonts w:ascii="宋体" w:eastAsia="宋体" w:hAnsi="宋体" w:cs="宋体"/>
                <w:sz w:val="24"/>
                <w:szCs w:val="24"/>
              </w:rPr>
              <w:t>3</w:t>
            </w:r>
          </w:p>
        </w:tc>
        <w:tc>
          <w:tcPr>
            <w:tcW w:w="0" w:type="auto"/>
            <w:vMerge/>
            <w:tcBorders>
              <w:top w:val="nil"/>
              <w:left w:val="single" w:sz="4" w:space="0" w:color="000000"/>
              <w:bottom w:val="nil"/>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after="98" w:line="333" w:lineRule="auto"/>
              <w:ind w:left="-15" w:right="146"/>
              <w:rPr>
                <w:rFonts w:ascii="宋体" w:eastAsia="宋体" w:hAnsi="宋体"/>
                <w:sz w:val="24"/>
                <w:szCs w:val="24"/>
              </w:rPr>
            </w:pPr>
            <w:r w:rsidRPr="00007714">
              <w:rPr>
                <w:rFonts w:ascii="宋体" w:eastAsia="宋体" w:hAnsi="宋体"/>
                <w:sz w:val="24"/>
                <w:szCs w:val="24"/>
              </w:rPr>
              <w:t>建筑内的避难走道、避难间、避难层的设置不符合国家工程建设消防技术标准的规定，或避难走道、避难间、避难层被占用。</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after="98" w:line="333" w:lineRule="auto"/>
              <w:ind w:left="-15" w:right="146"/>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after="98" w:line="333" w:lineRule="auto"/>
              <w:ind w:left="-15" w:right="146"/>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after="98" w:line="333" w:lineRule="auto"/>
              <w:ind w:left="-15" w:right="146"/>
              <w:rPr>
                <w:rFonts w:ascii="宋体" w:eastAsia="宋体" w:hAnsi="宋体"/>
                <w:sz w:val="24"/>
                <w:szCs w:val="24"/>
              </w:rPr>
            </w:pPr>
          </w:p>
        </w:tc>
      </w:tr>
      <w:tr w:rsidR="00007714" w:rsidRPr="00007714" w:rsidTr="000B2AB4">
        <w:trPr>
          <w:trHeight w:val="407"/>
        </w:trPr>
        <w:tc>
          <w:tcPr>
            <w:tcW w:w="389" w:type="dxa"/>
            <w:tcBorders>
              <w:top w:val="single" w:sz="4" w:space="0" w:color="000000"/>
              <w:left w:val="single" w:sz="8" w:space="0" w:color="000000"/>
              <w:bottom w:val="single" w:sz="4" w:space="0" w:color="000000"/>
              <w:right w:val="single" w:sz="4" w:space="0" w:color="000000"/>
            </w:tcBorders>
          </w:tcPr>
          <w:p w:rsidR="00007714" w:rsidRPr="00007714" w:rsidRDefault="00007714" w:rsidP="000B2AB4">
            <w:pPr>
              <w:spacing w:line="259" w:lineRule="auto"/>
              <w:ind w:left="87"/>
              <w:rPr>
                <w:rFonts w:ascii="宋体" w:eastAsia="宋体" w:hAnsi="宋体"/>
                <w:sz w:val="24"/>
                <w:szCs w:val="24"/>
              </w:rPr>
            </w:pPr>
            <w:r w:rsidRPr="00007714">
              <w:rPr>
                <w:rFonts w:ascii="宋体" w:eastAsia="宋体" w:hAnsi="宋体" w:cs="宋体"/>
                <w:sz w:val="24"/>
                <w:szCs w:val="24"/>
              </w:rPr>
              <w:t>4</w:t>
            </w:r>
          </w:p>
        </w:tc>
        <w:tc>
          <w:tcPr>
            <w:tcW w:w="0" w:type="auto"/>
            <w:vMerge/>
            <w:tcBorders>
              <w:top w:val="nil"/>
              <w:left w:val="single" w:sz="4" w:space="0" w:color="000000"/>
              <w:bottom w:val="nil"/>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按国家工程建设消防技术标准的规定，建筑物应设置独立的安全出口或疏散楼梯而未设置。</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407"/>
        </w:trPr>
        <w:tc>
          <w:tcPr>
            <w:tcW w:w="389" w:type="dxa"/>
            <w:tcBorders>
              <w:top w:val="single" w:sz="4" w:space="0" w:color="000000"/>
              <w:left w:val="single" w:sz="8" w:space="0" w:color="000000"/>
              <w:bottom w:val="single" w:sz="4" w:space="0" w:color="000000"/>
              <w:right w:val="single" w:sz="4" w:space="0" w:color="000000"/>
            </w:tcBorders>
          </w:tcPr>
          <w:p w:rsidR="00007714" w:rsidRPr="00007714" w:rsidRDefault="00007714" w:rsidP="000B2AB4">
            <w:pPr>
              <w:spacing w:line="259" w:lineRule="auto"/>
              <w:ind w:left="87"/>
              <w:rPr>
                <w:rFonts w:ascii="宋体" w:eastAsia="宋体" w:hAnsi="宋体"/>
                <w:sz w:val="24"/>
                <w:szCs w:val="24"/>
              </w:rPr>
            </w:pPr>
            <w:r w:rsidRPr="00007714">
              <w:rPr>
                <w:rFonts w:ascii="宋体" w:eastAsia="宋体" w:hAnsi="宋体" w:cs="宋体"/>
                <w:sz w:val="24"/>
                <w:szCs w:val="24"/>
              </w:rPr>
              <w:t>5</w:t>
            </w:r>
          </w:p>
        </w:tc>
        <w:tc>
          <w:tcPr>
            <w:tcW w:w="0" w:type="auto"/>
            <w:vMerge/>
            <w:tcBorders>
              <w:top w:val="nil"/>
              <w:left w:val="single" w:sz="4" w:space="0" w:color="000000"/>
              <w:bottom w:val="nil"/>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高层建筑和地下建筑未按国家工程建设消防技术标准的规定设置疏散指示标志、应急照明，或所设置设施的损坏率大于标准规定要求设置数量的</w:t>
            </w:r>
            <w:r w:rsidRPr="00007714">
              <w:rPr>
                <w:rFonts w:ascii="宋体" w:eastAsia="宋体" w:hAnsi="宋体" w:cs="宋体"/>
                <w:sz w:val="24"/>
                <w:szCs w:val="24"/>
              </w:rPr>
              <w:t>30%</w:t>
            </w:r>
            <w:r w:rsidRPr="00007714">
              <w:rPr>
                <w:rFonts w:ascii="宋体" w:eastAsia="宋体" w:hAnsi="宋体"/>
                <w:sz w:val="24"/>
                <w:szCs w:val="24"/>
              </w:rPr>
              <w:t>；其他建筑未按国家工程建设消防技术标准的规定设置疏散指示标志、应急照明，或所设置设施的损坏率大于标准规定要求设置数量的</w:t>
            </w:r>
            <w:r w:rsidRPr="00007714">
              <w:rPr>
                <w:rFonts w:ascii="宋体" w:eastAsia="宋体" w:hAnsi="宋体" w:cs="宋体"/>
                <w:sz w:val="24"/>
                <w:szCs w:val="24"/>
              </w:rPr>
              <w:t>50%</w:t>
            </w:r>
            <w:r w:rsidRPr="00007714">
              <w:rPr>
                <w:rFonts w:ascii="宋体" w:eastAsia="宋体" w:hAnsi="宋体"/>
                <w:sz w:val="24"/>
                <w:szCs w:val="24"/>
              </w:rPr>
              <w:t>。</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613"/>
        </w:trPr>
        <w:tc>
          <w:tcPr>
            <w:tcW w:w="389" w:type="dxa"/>
            <w:tcBorders>
              <w:top w:val="single" w:sz="4" w:space="0" w:color="000000"/>
              <w:left w:val="single" w:sz="8" w:space="0" w:color="000000"/>
              <w:bottom w:val="single" w:sz="4" w:space="0" w:color="000000"/>
              <w:right w:val="single" w:sz="4" w:space="0" w:color="000000"/>
            </w:tcBorders>
            <w:vAlign w:val="center"/>
          </w:tcPr>
          <w:p w:rsidR="00007714" w:rsidRPr="00007714" w:rsidRDefault="00007714" w:rsidP="000B2AB4">
            <w:pPr>
              <w:spacing w:line="259" w:lineRule="auto"/>
              <w:ind w:left="87"/>
              <w:rPr>
                <w:rFonts w:ascii="宋体" w:eastAsia="宋体" w:hAnsi="宋体"/>
                <w:sz w:val="24"/>
                <w:szCs w:val="24"/>
              </w:rPr>
            </w:pPr>
            <w:r w:rsidRPr="00007714">
              <w:rPr>
                <w:rFonts w:ascii="宋体" w:eastAsia="宋体" w:hAnsi="宋体" w:cs="宋体"/>
                <w:sz w:val="24"/>
                <w:szCs w:val="24"/>
              </w:rPr>
              <w:lastRenderedPageBreak/>
              <w:t>6</w:t>
            </w:r>
          </w:p>
        </w:tc>
        <w:tc>
          <w:tcPr>
            <w:tcW w:w="0" w:type="auto"/>
            <w:vMerge/>
            <w:tcBorders>
              <w:top w:val="nil"/>
              <w:left w:val="single" w:sz="4" w:space="0" w:color="000000"/>
              <w:bottom w:val="nil"/>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333" w:lineRule="auto"/>
              <w:ind w:left="-15" w:right="146"/>
              <w:rPr>
                <w:rFonts w:ascii="宋体" w:eastAsia="宋体" w:hAnsi="宋体"/>
                <w:sz w:val="24"/>
                <w:szCs w:val="24"/>
              </w:rPr>
            </w:pPr>
            <w:r w:rsidRPr="00007714">
              <w:rPr>
                <w:rFonts w:ascii="宋体" w:eastAsia="宋体" w:hAnsi="宋体"/>
                <w:sz w:val="24"/>
                <w:szCs w:val="24"/>
              </w:rPr>
              <w:t>设有人员密集场所的高层建筑的封闭楼梯间或防烟楼梯间的门的损坏率超过其设置总数的</w:t>
            </w:r>
            <w:r w:rsidRPr="00007714">
              <w:rPr>
                <w:rFonts w:ascii="宋体" w:eastAsia="宋体" w:hAnsi="宋体" w:cs="宋体"/>
                <w:sz w:val="24"/>
                <w:szCs w:val="24"/>
              </w:rPr>
              <w:t>20%</w:t>
            </w:r>
            <w:r w:rsidRPr="00007714">
              <w:rPr>
                <w:rFonts w:ascii="宋体" w:eastAsia="宋体" w:hAnsi="宋体"/>
                <w:sz w:val="24"/>
                <w:szCs w:val="24"/>
              </w:rPr>
              <w:t>，其他建筑的封闭楼梯间或防烟楼梯间的门的损坏率大于其设置总数的</w:t>
            </w:r>
            <w:r w:rsidRPr="00007714">
              <w:rPr>
                <w:rFonts w:ascii="宋体" w:eastAsia="宋体" w:hAnsi="宋体" w:cs="宋体"/>
                <w:sz w:val="24"/>
                <w:szCs w:val="24"/>
              </w:rPr>
              <w:t>50%</w:t>
            </w:r>
            <w:r w:rsidRPr="00007714">
              <w:rPr>
                <w:rFonts w:ascii="宋体" w:eastAsia="宋体" w:hAnsi="宋体"/>
                <w:sz w:val="24"/>
                <w:szCs w:val="24"/>
              </w:rPr>
              <w:t>。</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333" w:lineRule="auto"/>
              <w:ind w:left="-15" w:right="146"/>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333" w:lineRule="auto"/>
              <w:ind w:left="-15" w:right="146"/>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333" w:lineRule="auto"/>
              <w:ind w:left="-15" w:right="146"/>
              <w:rPr>
                <w:rFonts w:ascii="宋体" w:eastAsia="宋体" w:hAnsi="宋体"/>
                <w:sz w:val="24"/>
                <w:szCs w:val="24"/>
              </w:rPr>
            </w:pPr>
          </w:p>
        </w:tc>
      </w:tr>
      <w:tr w:rsidR="00007714" w:rsidRPr="00007714" w:rsidTr="000B2AB4">
        <w:trPr>
          <w:trHeight w:val="407"/>
        </w:trPr>
        <w:tc>
          <w:tcPr>
            <w:tcW w:w="389" w:type="dxa"/>
            <w:tcBorders>
              <w:top w:val="single" w:sz="4" w:space="0" w:color="000000"/>
              <w:left w:val="single" w:sz="8" w:space="0" w:color="000000"/>
              <w:bottom w:val="single" w:sz="4" w:space="0" w:color="000000"/>
              <w:right w:val="single" w:sz="4" w:space="0" w:color="000000"/>
            </w:tcBorders>
          </w:tcPr>
          <w:p w:rsidR="00007714" w:rsidRPr="00007714" w:rsidRDefault="00007714" w:rsidP="000B2AB4">
            <w:pPr>
              <w:spacing w:line="259" w:lineRule="auto"/>
              <w:ind w:left="87"/>
              <w:rPr>
                <w:rFonts w:ascii="宋体" w:eastAsia="宋体" w:hAnsi="宋体"/>
                <w:sz w:val="24"/>
                <w:szCs w:val="24"/>
              </w:rPr>
            </w:pPr>
            <w:r w:rsidRPr="00007714">
              <w:rPr>
                <w:rFonts w:ascii="宋体" w:eastAsia="宋体" w:hAnsi="宋体" w:cs="宋体"/>
                <w:sz w:val="24"/>
                <w:szCs w:val="24"/>
              </w:rPr>
              <w:t>7</w:t>
            </w:r>
          </w:p>
        </w:tc>
        <w:tc>
          <w:tcPr>
            <w:tcW w:w="0" w:type="auto"/>
            <w:vMerge/>
            <w:tcBorders>
              <w:top w:val="nil"/>
              <w:left w:val="single" w:sz="4" w:space="0" w:color="000000"/>
              <w:bottom w:val="nil"/>
              <w:right w:val="single" w:sz="4" w:space="0" w:color="000000"/>
            </w:tcBorders>
            <w:vAlign w:val="center"/>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人员密集场所的疏散走道、楼梯间、疏散门或安全出口设置栅栏、卷帘门。</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633"/>
        </w:trPr>
        <w:tc>
          <w:tcPr>
            <w:tcW w:w="389" w:type="dxa"/>
            <w:tcBorders>
              <w:top w:val="single" w:sz="4" w:space="0" w:color="000000"/>
              <w:left w:val="single" w:sz="8" w:space="0" w:color="000000"/>
              <w:bottom w:val="single" w:sz="4" w:space="0" w:color="000000"/>
              <w:right w:val="single" w:sz="4" w:space="0" w:color="000000"/>
            </w:tcBorders>
            <w:vAlign w:val="center"/>
          </w:tcPr>
          <w:p w:rsidR="00007714" w:rsidRPr="00007714" w:rsidRDefault="00007714" w:rsidP="000B2AB4">
            <w:pPr>
              <w:spacing w:line="259" w:lineRule="auto"/>
              <w:ind w:left="87"/>
              <w:rPr>
                <w:rFonts w:ascii="宋体" w:eastAsia="宋体" w:hAnsi="宋体"/>
                <w:sz w:val="24"/>
                <w:szCs w:val="24"/>
              </w:rPr>
            </w:pPr>
            <w:r w:rsidRPr="00007714">
              <w:rPr>
                <w:rFonts w:ascii="宋体" w:eastAsia="宋体" w:hAnsi="宋体" w:cs="宋体"/>
                <w:sz w:val="24"/>
                <w:szCs w:val="24"/>
              </w:rPr>
              <w:t>8</w:t>
            </w:r>
          </w:p>
        </w:tc>
        <w:tc>
          <w:tcPr>
            <w:tcW w:w="0" w:type="auto"/>
            <w:vMerge/>
            <w:tcBorders>
              <w:top w:val="nil"/>
              <w:left w:val="single" w:sz="4" w:space="0" w:color="000000"/>
              <w:bottom w:val="nil"/>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高层建筑的消防车道、救援场地设置不符合要求或被占用，影响火灾扑救。</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632"/>
        </w:trPr>
        <w:tc>
          <w:tcPr>
            <w:tcW w:w="389" w:type="dxa"/>
            <w:tcBorders>
              <w:top w:val="single" w:sz="4" w:space="0" w:color="000000"/>
              <w:left w:val="single" w:sz="8" w:space="0" w:color="000000"/>
              <w:bottom w:val="single" w:sz="4" w:space="0" w:color="000000"/>
              <w:right w:val="single" w:sz="4" w:space="0" w:color="000000"/>
            </w:tcBorders>
            <w:vAlign w:val="center"/>
          </w:tcPr>
          <w:p w:rsidR="00007714" w:rsidRPr="00007714" w:rsidRDefault="00007714" w:rsidP="000B2AB4">
            <w:pPr>
              <w:spacing w:line="259" w:lineRule="auto"/>
              <w:ind w:left="25"/>
              <w:rPr>
                <w:rFonts w:ascii="宋体" w:eastAsia="宋体" w:hAnsi="宋体"/>
                <w:sz w:val="24"/>
                <w:szCs w:val="24"/>
              </w:rPr>
            </w:pPr>
            <w:r w:rsidRPr="00007714">
              <w:rPr>
                <w:rFonts w:ascii="宋体" w:eastAsia="宋体" w:hAnsi="宋体" w:cs="宋体"/>
                <w:sz w:val="24"/>
                <w:szCs w:val="24"/>
              </w:rPr>
              <w:t>9</w:t>
            </w:r>
          </w:p>
        </w:tc>
        <w:tc>
          <w:tcPr>
            <w:tcW w:w="819" w:type="dxa"/>
            <w:vMerge w:val="restart"/>
            <w:tcBorders>
              <w:top w:val="single" w:sz="4" w:space="0" w:color="000000"/>
              <w:left w:val="single" w:sz="4" w:space="0" w:color="000000"/>
              <w:right w:val="single" w:sz="4" w:space="0" w:color="000000"/>
            </w:tcBorders>
            <w:vAlign w:val="center"/>
          </w:tcPr>
          <w:p w:rsidR="00007714" w:rsidRPr="00007714" w:rsidRDefault="00007714" w:rsidP="000B2AB4">
            <w:pPr>
              <w:spacing w:line="259" w:lineRule="auto"/>
              <w:jc w:val="center"/>
              <w:rPr>
                <w:rFonts w:ascii="宋体" w:eastAsia="宋体" w:hAnsi="宋体" w:cs="宋体"/>
                <w:sz w:val="24"/>
                <w:szCs w:val="24"/>
              </w:rPr>
            </w:pPr>
          </w:p>
          <w:p w:rsidR="00007714" w:rsidRPr="00007714" w:rsidRDefault="00007714" w:rsidP="000B2AB4">
            <w:pPr>
              <w:spacing w:line="259" w:lineRule="auto"/>
              <w:jc w:val="center"/>
              <w:rPr>
                <w:rFonts w:ascii="宋体" w:eastAsia="宋体" w:hAnsi="宋体" w:cs="宋体"/>
                <w:sz w:val="24"/>
                <w:szCs w:val="24"/>
              </w:rPr>
            </w:pPr>
          </w:p>
          <w:p w:rsidR="00007714" w:rsidRPr="00007714" w:rsidRDefault="00007714" w:rsidP="000B2AB4">
            <w:pPr>
              <w:spacing w:line="259" w:lineRule="auto"/>
              <w:jc w:val="center"/>
              <w:rPr>
                <w:rFonts w:ascii="宋体" w:eastAsia="宋体" w:hAnsi="宋体" w:cs="宋体"/>
                <w:sz w:val="24"/>
                <w:szCs w:val="24"/>
              </w:rPr>
            </w:pPr>
          </w:p>
          <w:p w:rsidR="00007714" w:rsidRPr="00007714" w:rsidRDefault="00007714" w:rsidP="000B2AB4">
            <w:pPr>
              <w:spacing w:line="259" w:lineRule="auto"/>
              <w:jc w:val="center"/>
              <w:rPr>
                <w:rFonts w:ascii="宋体" w:eastAsia="宋体" w:hAnsi="宋体"/>
                <w:sz w:val="24"/>
                <w:szCs w:val="24"/>
              </w:rPr>
            </w:pPr>
            <w:r w:rsidRPr="00007714">
              <w:rPr>
                <w:rFonts w:ascii="宋体" w:eastAsia="宋体" w:hAnsi="宋体" w:cs="宋体" w:hint="eastAsia"/>
                <w:sz w:val="24"/>
                <w:szCs w:val="24"/>
              </w:rPr>
              <w:t>专用设施</w:t>
            </w:r>
            <w:r w:rsidRPr="00007714">
              <w:rPr>
                <w:rFonts w:ascii="宋体" w:eastAsia="宋体" w:hAnsi="宋体" w:cs="宋体"/>
                <w:sz w:val="24"/>
                <w:szCs w:val="24"/>
              </w:rPr>
              <w:t>类</w:t>
            </w: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未按国家工程建设消防技术标准的规定设置消防水源、储存泡沫液等灭火剂。</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407"/>
        </w:trPr>
        <w:tc>
          <w:tcPr>
            <w:tcW w:w="389" w:type="dxa"/>
            <w:tcBorders>
              <w:top w:val="single" w:sz="4" w:space="0" w:color="000000"/>
              <w:left w:val="single" w:sz="8" w:space="0" w:color="000000"/>
              <w:bottom w:val="single" w:sz="4" w:space="0" w:color="000000"/>
              <w:right w:val="single" w:sz="4" w:space="0" w:color="000000"/>
            </w:tcBorders>
          </w:tcPr>
          <w:p w:rsidR="00007714" w:rsidRPr="00007714" w:rsidRDefault="00007714" w:rsidP="000B2AB4">
            <w:pPr>
              <w:spacing w:line="259" w:lineRule="auto"/>
              <w:ind w:left="25"/>
              <w:rPr>
                <w:rFonts w:ascii="宋体" w:eastAsia="宋体" w:hAnsi="宋体"/>
                <w:sz w:val="24"/>
                <w:szCs w:val="24"/>
              </w:rPr>
            </w:pPr>
            <w:r w:rsidRPr="00007714">
              <w:rPr>
                <w:rFonts w:ascii="宋体" w:eastAsia="宋体" w:hAnsi="宋体" w:cs="宋体"/>
                <w:sz w:val="24"/>
                <w:szCs w:val="24"/>
              </w:rPr>
              <w:t>10</w:t>
            </w:r>
          </w:p>
        </w:tc>
        <w:tc>
          <w:tcPr>
            <w:tcW w:w="0" w:type="auto"/>
            <w:vMerge/>
            <w:tcBorders>
              <w:left w:val="single" w:sz="4" w:space="0" w:color="000000"/>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未按国家工程建设消防技术标准的规定设置室外消防给水系统，或已设置但不符合标准的规定或不能正常使用。</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407"/>
        </w:trPr>
        <w:tc>
          <w:tcPr>
            <w:tcW w:w="389" w:type="dxa"/>
            <w:tcBorders>
              <w:top w:val="single" w:sz="4" w:space="0" w:color="000000"/>
              <w:left w:val="single" w:sz="8" w:space="0" w:color="000000"/>
              <w:bottom w:val="single" w:sz="4" w:space="0" w:color="000000"/>
              <w:right w:val="single" w:sz="4" w:space="0" w:color="000000"/>
            </w:tcBorders>
          </w:tcPr>
          <w:p w:rsidR="00007714" w:rsidRPr="00007714" w:rsidRDefault="00007714" w:rsidP="000B2AB4">
            <w:pPr>
              <w:spacing w:line="259" w:lineRule="auto"/>
              <w:ind w:left="25"/>
              <w:rPr>
                <w:rFonts w:ascii="宋体" w:eastAsia="宋体" w:hAnsi="宋体"/>
                <w:sz w:val="24"/>
                <w:szCs w:val="24"/>
              </w:rPr>
            </w:pPr>
            <w:r w:rsidRPr="00007714">
              <w:rPr>
                <w:rFonts w:ascii="宋体" w:eastAsia="宋体" w:hAnsi="宋体" w:cs="宋体"/>
                <w:sz w:val="24"/>
                <w:szCs w:val="24"/>
              </w:rPr>
              <w:t>11</w:t>
            </w:r>
          </w:p>
        </w:tc>
        <w:tc>
          <w:tcPr>
            <w:tcW w:w="0" w:type="auto"/>
            <w:vMerge/>
            <w:tcBorders>
              <w:left w:val="single" w:sz="4" w:space="0" w:color="000000"/>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未按国家工程建设消防技术标准的规定设置室内消火栓系统，或已设置但不符合标准的规定或不能正常使用。</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407"/>
        </w:trPr>
        <w:tc>
          <w:tcPr>
            <w:tcW w:w="389" w:type="dxa"/>
            <w:tcBorders>
              <w:top w:val="single" w:sz="4" w:space="0" w:color="000000"/>
              <w:left w:val="single" w:sz="8" w:space="0" w:color="000000"/>
              <w:bottom w:val="single" w:sz="4" w:space="0" w:color="000000"/>
              <w:right w:val="single" w:sz="4" w:space="0" w:color="000000"/>
            </w:tcBorders>
          </w:tcPr>
          <w:p w:rsidR="00007714" w:rsidRPr="00007714" w:rsidRDefault="00007714" w:rsidP="000B2AB4">
            <w:pPr>
              <w:spacing w:line="259" w:lineRule="auto"/>
              <w:ind w:left="25"/>
              <w:rPr>
                <w:rFonts w:ascii="宋体" w:eastAsia="宋体" w:hAnsi="宋体"/>
                <w:sz w:val="24"/>
                <w:szCs w:val="24"/>
              </w:rPr>
            </w:pPr>
            <w:r w:rsidRPr="00007714">
              <w:rPr>
                <w:rFonts w:ascii="宋体" w:eastAsia="宋体" w:hAnsi="宋体" w:cs="宋体"/>
                <w:sz w:val="24"/>
                <w:szCs w:val="24"/>
              </w:rPr>
              <w:t>12</w:t>
            </w:r>
          </w:p>
        </w:tc>
        <w:tc>
          <w:tcPr>
            <w:tcW w:w="0" w:type="auto"/>
            <w:vMerge/>
            <w:tcBorders>
              <w:left w:val="single" w:sz="4" w:space="0" w:color="000000"/>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未按国家工程建设消防技术标准的规定设置除自动喷水灭火系统外的其他固定灭火设施。</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407"/>
        </w:trPr>
        <w:tc>
          <w:tcPr>
            <w:tcW w:w="389" w:type="dxa"/>
            <w:tcBorders>
              <w:top w:val="single" w:sz="4" w:space="0" w:color="000000"/>
              <w:left w:val="single" w:sz="8" w:space="0" w:color="000000"/>
              <w:bottom w:val="single" w:sz="4" w:space="0" w:color="000000"/>
              <w:right w:val="single" w:sz="4" w:space="0" w:color="000000"/>
            </w:tcBorders>
          </w:tcPr>
          <w:p w:rsidR="00007714" w:rsidRPr="00007714" w:rsidRDefault="00007714" w:rsidP="000B2AB4">
            <w:pPr>
              <w:spacing w:line="259" w:lineRule="auto"/>
              <w:ind w:left="25"/>
              <w:rPr>
                <w:rFonts w:ascii="宋体" w:eastAsia="宋体" w:hAnsi="宋体"/>
                <w:sz w:val="24"/>
                <w:szCs w:val="24"/>
              </w:rPr>
            </w:pPr>
            <w:r w:rsidRPr="00007714">
              <w:rPr>
                <w:rFonts w:ascii="宋体" w:eastAsia="宋体" w:hAnsi="宋体" w:cs="宋体"/>
                <w:sz w:val="24"/>
                <w:szCs w:val="24"/>
              </w:rPr>
              <w:t>13</w:t>
            </w:r>
          </w:p>
        </w:tc>
        <w:tc>
          <w:tcPr>
            <w:tcW w:w="0" w:type="auto"/>
            <w:vMerge/>
            <w:tcBorders>
              <w:left w:val="single" w:sz="4" w:space="0" w:color="000000"/>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widowControl/>
              <w:spacing w:after="5" w:line="335" w:lineRule="auto"/>
              <w:jc w:val="left"/>
              <w:rPr>
                <w:rFonts w:ascii="宋体" w:eastAsia="宋体" w:hAnsi="宋体"/>
                <w:sz w:val="24"/>
                <w:szCs w:val="24"/>
              </w:rPr>
            </w:pPr>
            <w:r w:rsidRPr="00007714">
              <w:rPr>
                <w:rFonts w:ascii="宋体" w:eastAsia="宋体" w:hAnsi="宋体"/>
                <w:sz w:val="24"/>
                <w:szCs w:val="24"/>
              </w:rPr>
              <w:t>已设置的自动喷水灭火系统或其他固定灭火设施不能正常使用或运行。</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widowControl/>
              <w:spacing w:after="5" w:line="335" w:lineRule="auto"/>
              <w:jc w:val="left"/>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widowControl/>
              <w:spacing w:after="5" w:line="335" w:lineRule="auto"/>
              <w:jc w:val="left"/>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widowControl/>
              <w:spacing w:after="5" w:line="335" w:lineRule="auto"/>
              <w:jc w:val="left"/>
              <w:rPr>
                <w:rFonts w:ascii="宋体" w:eastAsia="宋体" w:hAnsi="宋体"/>
                <w:sz w:val="24"/>
                <w:szCs w:val="24"/>
              </w:rPr>
            </w:pPr>
          </w:p>
        </w:tc>
      </w:tr>
      <w:tr w:rsidR="00007714" w:rsidRPr="00007714" w:rsidTr="000B2AB4">
        <w:trPr>
          <w:trHeight w:val="407"/>
        </w:trPr>
        <w:tc>
          <w:tcPr>
            <w:tcW w:w="389" w:type="dxa"/>
            <w:tcBorders>
              <w:top w:val="single" w:sz="4" w:space="0" w:color="000000"/>
              <w:left w:val="single" w:sz="8" w:space="0" w:color="000000"/>
              <w:bottom w:val="single" w:sz="4" w:space="0" w:color="000000"/>
              <w:right w:val="single" w:sz="4" w:space="0" w:color="000000"/>
            </w:tcBorders>
          </w:tcPr>
          <w:p w:rsidR="00007714" w:rsidRPr="00007714" w:rsidRDefault="00007714" w:rsidP="000B2AB4">
            <w:pPr>
              <w:spacing w:line="259" w:lineRule="auto"/>
              <w:ind w:left="25"/>
              <w:rPr>
                <w:rFonts w:ascii="宋体" w:eastAsia="宋体" w:hAnsi="宋体"/>
                <w:sz w:val="24"/>
                <w:szCs w:val="24"/>
              </w:rPr>
            </w:pPr>
            <w:r w:rsidRPr="00007714">
              <w:rPr>
                <w:rFonts w:ascii="宋体" w:eastAsia="宋体" w:hAnsi="宋体" w:cs="宋体"/>
                <w:sz w:val="24"/>
                <w:szCs w:val="24"/>
              </w:rPr>
              <w:t>14</w:t>
            </w:r>
          </w:p>
        </w:tc>
        <w:tc>
          <w:tcPr>
            <w:tcW w:w="0" w:type="auto"/>
            <w:vMerge/>
            <w:tcBorders>
              <w:left w:val="single" w:sz="4" w:space="0" w:color="000000"/>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人员密集场所、高层建筑和地下建筑未按国家工程</w:t>
            </w:r>
            <w:r w:rsidRPr="00007714">
              <w:rPr>
                <w:rFonts w:ascii="宋体" w:eastAsia="宋体" w:hAnsi="宋体"/>
                <w:sz w:val="24"/>
                <w:szCs w:val="24"/>
              </w:rPr>
              <w:lastRenderedPageBreak/>
              <w:t>建设消防技术标准的规定设置防烟、排烟设施，或已设置但不能正常使用或运行。</w:t>
            </w:r>
          </w:p>
        </w:tc>
        <w:tc>
          <w:tcPr>
            <w:tcW w:w="2835"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4"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412"/>
        </w:trPr>
        <w:tc>
          <w:tcPr>
            <w:tcW w:w="389" w:type="dxa"/>
            <w:tcBorders>
              <w:top w:val="single" w:sz="4" w:space="0" w:color="000000"/>
              <w:left w:val="single" w:sz="8" w:space="0" w:color="000000"/>
              <w:bottom w:val="single" w:sz="8" w:space="0" w:color="000000"/>
              <w:right w:val="single" w:sz="4" w:space="0" w:color="000000"/>
            </w:tcBorders>
          </w:tcPr>
          <w:p w:rsidR="00007714" w:rsidRPr="00007714" w:rsidRDefault="00007714" w:rsidP="000B2AB4">
            <w:pPr>
              <w:spacing w:line="259" w:lineRule="auto"/>
              <w:ind w:left="25"/>
              <w:rPr>
                <w:rFonts w:ascii="宋体" w:eastAsia="宋体" w:hAnsi="宋体"/>
                <w:sz w:val="24"/>
                <w:szCs w:val="24"/>
              </w:rPr>
            </w:pPr>
            <w:r w:rsidRPr="00007714">
              <w:rPr>
                <w:rFonts w:ascii="宋体" w:eastAsia="宋体" w:hAnsi="宋体" w:cs="宋体"/>
                <w:sz w:val="24"/>
                <w:szCs w:val="24"/>
              </w:rPr>
              <w:t>15</w:t>
            </w:r>
          </w:p>
        </w:tc>
        <w:tc>
          <w:tcPr>
            <w:tcW w:w="0" w:type="auto"/>
            <w:vMerge/>
            <w:tcBorders>
              <w:left w:val="single" w:sz="4" w:space="0" w:color="000000"/>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火灾自动报警系统不能正常运行。</w:t>
            </w:r>
          </w:p>
        </w:tc>
        <w:tc>
          <w:tcPr>
            <w:tcW w:w="2835"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412"/>
        </w:trPr>
        <w:tc>
          <w:tcPr>
            <w:tcW w:w="389" w:type="dxa"/>
            <w:tcBorders>
              <w:top w:val="single" w:sz="4" w:space="0" w:color="000000"/>
              <w:left w:val="single" w:sz="8" w:space="0" w:color="000000"/>
              <w:bottom w:val="single" w:sz="8" w:space="0" w:color="000000"/>
              <w:right w:val="single" w:sz="4" w:space="0" w:color="000000"/>
            </w:tcBorders>
          </w:tcPr>
          <w:p w:rsidR="00007714" w:rsidRPr="00007714" w:rsidRDefault="00007714" w:rsidP="000B2AB4">
            <w:pPr>
              <w:spacing w:line="259" w:lineRule="auto"/>
              <w:ind w:left="25"/>
              <w:rPr>
                <w:rFonts w:ascii="宋体" w:eastAsia="宋体" w:hAnsi="宋体" w:cs="宋体"/>
                <w:sz w:val="24"/>
                <w:szCs w:val="24"/>
              </w:rPr>
            </w:pPr>
            <w:r w:rsidRPr="00007714">
              <w:rPr>
                <w:rFonts w:ascii="宋体" w:eastAsia="宋体" w:hAnsi="宋体" w:cs="宋体" w:hint="eastAsia"/>
                <w:sz w:val="24"/>
                <w:szCs w:val="24"/>
              </w:rPr>
              <w:t>1</w:t>
            </w:r>
            <w:r w:rsidRPr="00007714">
              <w:rPr>
                <w:rFonts w:ascii="宋体" w:eastAsia="宋体" w:hAnsi="宋体" w:cs="宋体"/>
                <w:sz w:val="24"/>
                <w:szCs w:val="24"/>
              </w:rPr>
              <w:t>6</w:t>
            </w:r>
          </w:p>
        </w:tc>
        <w:tc>
          <w:tcPr>
            <w:tcW w:w="0" w:type="auto"/>
            <w:vMerge/>
            <w:tcBorders>
              <w:left w:val="single" w:sz="4" w:space="0" w:color="000000"/>
              <w:bottom w:val="single" w:sz="8" w:space="0" w:color="000000"/>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防烟排烟系统、消防水泵以及其他自动消防设施不能正常联动控制。</w:t>
            </w:r>
          </w:p>
        </w:tc>
        <w:tc>
          <w:tcPr>
            <w:tcW w:w="2835"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412"/>
        </w:trPr>
        <w:tc>
          <w:tcPr>
            <w:tcW w:w="389" w:type="dxa"/>
            <w:tcBorders>
              <w:top w:val="single" w:sz="4" w:space="0" w:color="000000"/>
              <w:left w:val="single" w:sz="8" w:space="0" w:color="000000"/>
              <w:bottom w:val="single" w:sz="8" w:space="0" w:color="000000"/>
              <w:right w:val="single" w:sz="4" w:space="0" w:color="000000"/>
            </w:tcBorders>
          </w:tcPr>
          <w:p w:rsidR="00007714" w:rsidRPr="00007714" w:rsidRDefault="00007714" w:rsidP="000B2AB4">
            <w:pPr>
              <w:spacing w:line="259" w:lineRule="auto"/>
              <w:ind w:left="25"/>
              <w:rPr>
                <w:rFonts w:ascii="宋体" w:eastAsia="宋体" w:hAnsi="宋体" w:cs="宋体"/>
                <w:sz w:val="24"/>
                <w:szCs w:val="24"/>
              </w:rPr>
            </w:pPr>
            <w:r w:rsidRPr="00007714">
              <w:rPr>
                <w:rFonts w:ascii="宋体" w:eastAsia="宋体" w:hAnsi="宋体" w:cs="宋体" w:hint="eastAsia"/>
                <w:sz w:val="24"/>
                <w:szCs w:val="24"/>
              </w:rPr>
              <w:t>1</w:t>
            </w:r>
            <w:r w:rsidRPr="00007714">
              <w:rPr>
                <w:rFonts w:ascii="宋体" w:eastAsia="宋体" w:hAnsi="宋体" w:cs="宋体"/>
                <w:sz w:val="24"/>
                <w:szCs w:val="24"/>
              </w:rPr>
              <w:t>7</w:t>
            </w:r>
          </w:p>
        </w:tc>
        <w:tc>
          <w:tcPr>
            <w:tcW w:w="0" w:type="auto"/>
            <w:vMerge w:val="restart"/>
            <w:tcBorders>
              <w:top w:val="nil"/>
              <w:left w:val="single" w:sz="4" w:space="0" w:color="000000"/>
              <w:right w:val="single" w:sz="4" w:space="0" w:color="000000"/>
            </w:tcBorders>
          </w:tcPr>
          <w:p w:rsidR="00007714" w:rsidRPr="00007714" w:rsidRDefault="00007714" w:rsidP="000B2AB4">
            <w:pPr>
              <w:spacing w:after="160" w:line="259" w:lineRule="auto"/>
              <w:rPr>
                <w:rFonts w:ascii="宋体" w:eastAsia="宋体" w:hAnsi="宋体"/>
                <w:sz w:val="24"/>
                <w:szCs w:val="24"/>
              </w:rPr>
            </w:pPr>
            <w:r w:rsidRPr="00007714">
              <w:rPr>
                <w:rFonts w:ascii="宋体" w:eastAsia="宋体" w:hAnsi="宋体" w:hint="eastAsia"/>
                <w:sz w:val="24"/>
                <w:szCs w:val="24"/>
              </w:rPr>
              <w:t>管理类</w:t>
            </w:r>
          </w:p>
        </w:tc>
        <w:tc>
          <w:tcPr>
            <w:tcW w:w="5304"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未按消防法律法规要求设置专职</w:t>
            </w:r>
            <w:r w:rsidRPr="00007714">
              <w:rPr>
                <w:rFonts w:ascii="宋体" w:eastAsia="宋体" w:hAnsi="宋体" w:hint="eastAsia"/>
                <w:sz w:val="24"/>
                <w:szCs w:val="24"/>
              </w:rPr>
              <w:t>维保单位</w:t>
            </w:r>
            <w:r w:rsidRPr="00007714">
              <w:rPr>
                <w:rFonts w:ascii="宋体" w:eastAsia="宋体" w:hAnsi="宋体"/>
                <w:sz w:val="24"/>
                <w:szCs w:val="24"/>
              </w:rPr>
              <w:t>。</w:t>
            </w:r>
          </w:p>
        </w:tc>
        <w:tc>
          <w:tcPr>
            <w:tcW w:w="2835"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r w:rsidR="00007714" w:rsidRPr="00007714" w:rsidTr="000B2AB4">
        <w:trPr>
          <w:trHeight w:val="412"/>
        </w:trPr>
        <w:tc>
          <w:tcPr>
            <w:tcW w:w="389" w:type="dxa"/>
            <w:tcBorders>
              <w:top w:val="single" w:sz="4" w:space="0" w:color="000000"/>
              <w:left w:val="single" w:sz="8" w:space="0" w:color="000000"/>
              <w:bottom w:val="single" w:sz="8" w:space="0" w:color="000000"/>
              <w:right w:val="single" w:sz="4" w:space="0" w:color="000000"/>
            </w:tcBorders>
          </w:tcPr>
          <w:p w:rsidR="00007714" w:rsidRPr="00007714" w:rsidRDefault="00007714" w:rsidP="000B2AB4">
            <w:pPr>
              <w:spacing w:line="259" w:lineRule="auto"/>
              <w:ind w:left="25"/>
              <w:rPr>
                <w:rFonts w:ascii="宋体" w:eastAsia="宋体" w:hAnsi="宋体" w:cs="宋体"/>
                <w:sz w:val="24"/>
                <w:szCs w:val="24"/>
              </w:rPr>
            </w:pPr>
            <w:r w:rsidRPr="00007714">
              <w:rPr>
                <w:rFonts w:ascii="宋体" w:eastAsia="宋体" w:hAnsi="宋体" w:cs="宋体" w:hint="eastAsia"/>
                <w:sz w:val="24"/>
                <w:szCs w:val="24"/>
              </w:rPr>
              <w:t>1</w:t>
            </w:r>
            <w:r w:rsidRPr="00007714">
              <w:rPr>
                <w:rFonts w:ascii="宋体" w:eastAsia="宋体" w:hAnsi="宋体" w:cs="宋体"/>
                <w:sz w:val="24"/>
                <w:szCs w:val="24"/>
              </w:rPr>
              <w:t>8</w:t>
            </w:r>
          </w:p>
        </w:tc>
        <w:tc>
          <w:tcPr>
            <w:tcW w:w="0" w:type="auto"/>
            <w:vMerge/>
            <w:tcBorders>
              <w:left w:val="single" w:sz="4" w:space="0" w:color="000000"/>
              <w:bottom w:val="single" w:sz="8" w:space="0" w:color="000000"/>
              <w:right w:val="single" w:sz="4" w:space="0" w:color="000000"/>
            </w:tcBorders>
          </w:tcPr>
          <w:p w:rsidR="00007714" w:rsidRPr="00007714" w:rsidRDefault="00007714" w:rsidP="000B2AB4">
            <w:pPr>
              <w:spacing w:after="160" w:line="259" w:lineRule="auto"/>
              <w:rPr>
                <w:rFonts w:ascii="宋体" w:eastAsia="宋体" w:hAnsi="宋体"/>
                <w:sz w:val="24"/>
                <w:szCs w:val="24"/>
              </w:rPr>
            </w:pPr>
          </w:p>
        </w:tc>
        <w:tc>
          <w:tcPr>
            <w:tcW w:w="5304"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r w:rsidRPr="00007714">
              <w:rPr>
                <w:rFonts w:ascii="宋体" w:eastAsia="宋体" w:hAnsi="宋体"/>
                <w:sz w:val="24"/>
                <w:szCs w:val="24"/>
              </w:rPr>
              <w:t>消防控制室操作人员未按</w:t>
            </w:r>
            <w:r w:rsidRPr="00007714">
              <w:rPr>
                <w:rFonts w:ascii="宋体" w:eastAsia="宋体" w:hAnsi="宋体" w:cs="宋体"/>
                <w:sz w:val="24"/>
                <w:szCs w:val="24"/>
              </w:rPr>
              <w:t>GB25506</w:t>
            </w:r>
            <w:r w:rsidRPr="00007714">
              <w:rPr>
                <w:rFonts w:ascii="宋体" w:eastAsia="宋体" w:hAnsi="宋体"/>
                <w:sz w:val="24"/>
                <w:szCs w:val="24"/>
              </w:rPr>
              <w:t>的规定持证上岗。</w:t>
            </w:r>
          </w:p>
        </w:tc>
        <w:tc>
          <w:tcPr>
            <w:tcW w:w="2835"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126"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c>
          <w:tcPr>
            <w:tcW w:w="2466" w:type="dxa"/>
            <w:tcBorders>
              <w:top w:val="single" w:sz="4" w:space="0" w:color="000000"/>
              <w:left w:val="single" w:sz="4" w:space="0" w:color="000000"/>
              <w:bottom w:val="single" w:sz="8" w:space="0" w:color="000000"/>
              <w:right w:val="single" w:sz="8" w:space="0" w:color="000000"/>
            </w:tcBorders>
          </w:tcPr>
          <w:p w:rsidR="00007714" w:rsidRPr="00007714" w:rsidRDefault="00007714" w:rsidP="000B2AB4">
            <w:pPr>
              <w:spacing w:line="259" w:lineRule="auto"/>
              <w:ind w:left="20"/>
              <w:rPr>
                <w:rFonts w:ascii="宋体" w:eastAsia="宋体" w:hAnsi="宋体"/>
                <w:sz w:val="24"/>
                <w:szCs w:val="24"/>
              </w:rPr>
            </w:pPr>
          </w:p>
        </w:tc>
      </w:tr>
    </w:tbl>
    <w:p w:rsidR="00DF50FA" w:rsidRPr="00007714" w:rsidRDefault="00DF50FA"/>
    <w:sectPr w:rsidR="00DF50FA" w:rsidRPr="00007714" w:rsidSect="0000771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F47" w:rsidRDefault="00661F47" w:rsidP="00007714">
      <w:r>
        <w:separator/>
      </w:r>
    </w:p>
  </w:endnote>
  <w:endnote w:type="continuationSeparator" w:id="0">
    <w:p w:rsidR="00661F47" w:rsidRDefault="00661F47" w:rsidP="0000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F47" w:rsidRDefault="00661F47" w:rsidP="00007714">
      <w:r>
        <w:separator/>
      </w:r>
    </w:p>
  </w:footnote>
  <w:footnote w:type="continuationSeparator" w:id="0">
    <w:p w:rsidR="00661F47" w:rsidRDefault="00661F47" w:rsidP="00007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08"/>
    <w:rsid w:val="00007714"/>
    <w:rsid w:val="00124208"/>
    <w:rsid w:val="00661F47"/>
    <w:rsid w:val="00DF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727B12-8693-4F9E-8475-DF566309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7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7714"/>
    <w:rPr>
      <w:sz w:val="18"/>
      <w:szCs w:val="18"/>
    </w:rPr>
  </w:style>
  <w:style w:type="paragraph" w:styleId="a5">
    <w:name w:val="footer"/>
    <w:basedOn w:val="a"/>
    <w:link w:val="a6"/>
    <w:uiPriority w:val="99"/>
    <w:unhideWhenUsed/>
    <w:rsid w:val="00007714"/>
    <w:pPr>
      <w:tabs>
        <w:tab w:val="center" w:pos="4153"/>
        <w:tab w:val="right" w:pos="8306"/>
      </w:tabs>
      <w:snapToGrid w:val="0"/>
      <w:jc w:val="left"/>
    </w:pPr>
    <w:rPr>
      <w:sz w:val="18"/>
      <w:szCs w:val="18"/>
    </w:rPr>
  </w:style>
  <w:style w:type="character" w:customStyle="1" w:styleId="a6">
    <w:name w:val="页脚 字符"/>
    <w:basedOn w:val="a0"/>
    <w:link w:val="a5"/>
    <w:uiPriority w:val="99"/>
    <w:rsid w:val="00007714"/>
    <w:rPr>
      <w:sz w:val="18"/>
      <w:szCs w:val="18"/>
    </w:rPr>
  </w:style>
  <w:style w:type="table" w:customStyle="1" w:styleId="TableGrid">
    <w:name w:val="TableGrid"/>
    <w:rsid w:val="000077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2023-06-15T00:59:00Z</dcterms:created>
  <dcterms:modified xsi:type="dcterms:W3CDTF">2023-06-15T01:00:00Z</dcterms:modified>
</cp:coreProperties>
</file>